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562" w:right="673" w:hanging="5"/>
        <w:jc w:val="center"/>
        <w:rPr>
          <w:rFonts w:hint="default"/>
          <w:lang w:val="ru-RU"/>
        </w:rPr>
      </w:pPr>
      <w:r>
        <w:rPr>
          <w:lang w:val="ru-RU"/>
        </w:rPr>
        <w:t>ЗАПРОС</w:t>
      </w:r>
      <w:r>
        <w:rPr>
          <w:rFonts w:hint="default"/>
          <w:lang w:val="ru-RU"/>
        </w:rPr>
        <w:t xml:space="preserve"> ПОЛОЖЕНИЙ КОНКУРСНОЙ ДОКУМЕНТАЦИИ </w:t>
      </w:r>
    </w:p>
    <w:p>
      <w:pPr>
        <w:spacing w:before="0"/>
        <w:ind w:left="562" w:right="673" w:hanging="5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КОНКУРСА В ЭЛЕКТРОННОЙ ФОРМЕ </w:t>
      </w:r>
    </w:p>
    <w:p>
      <w:pPr>
        <w:spacing w:before="0"/>
        <w:ind w:left="562" w:right="673" w:hanging="5"/>
        <w:jc w:val="center"/>
        <w:rPr>
          <w:sz w:val="21"/>
          <w:szCs w:val="22"/>
          <w:lang w:val="ru-RU"/>
        </w:rPr>
      </w:pPr>
      <w:r>
        <w:rPr>
          <w:sz w:val="21"/>
          <w:szCs w:val="22"/>
          <w:lang w:val="ru-RU"/>
        </w:rPr>
        <w:t>на право заключения Договора на выполнение комплекса работ по проектированию и строительству объекта: М-12 «Строящаяся скоростная автомобильная дорога Москва -</w:t>
      </w:r>
    </w:p>
    <w:p>
      <w:pPr>
        <w:spacing w:before="0"/>
        <w:ind w:left="562" w:right="673" w:hanging="5"/>
        <w:jc w:val="center"/>
        <w:rPr>
          <w:sz w:val="21"/>
          <w:szCs w:val="22"/>
          <w:lang w:val="ru-RU"/>
        </w:rPr>
      </w:pPr>
      <w:r>
        <w:rPr>
          <w:sz w:val="21"/>
          <w:szCs w:val="22"/>
          <w:lang w:val="ru-RU"/>
        </w:rPr>
        <w:t>Нижний Новгород – Казань», 1 этап км 0 – км 80, Московская, Владимирская области (от пересечения с автомобильной дорогой федерального значения А-108 «Московское большое кольцо» до пересечения с автомобильной дорогой федерального значения М-7 «Волга»)»</w:t>
      </w:r>
    </w:p>
    <w:p>
      <w:pPr>
        <w:spacing w:before="0"/>
        <w:ind w:left="562" w:right="673" w:hanging="5"/>
        <w:jc w:val="center"/>
        <w:rPr>
          <w:sz w:val="21"/>
          <w:szCs w:val="22"/>
          <w:lang w:val="ru-RU"/>
        </w:rPr>
      </w:pPr>
      <w:r>
        <w:rPr>
          <w:sz w:val="21"/>
          <w:szCs w:val="22"/>
          <w:lang w:val="ru-RU"/>
        </w:rPr>
        <w:t>(с привлечением к исполнению договора субподрядчиков (соисполнителей) из числа субъектов малого и среднего предпринимательства)</w:t>
      </w:r>
    </w:p>
    <w:p>
      <w:pPr>
        <w:spacing w:before="0"/>
        <w:ind w:left="562" w:right="673" w:hanging="5"/>
        <w:jc w:val="center"/>
        <w:rPr>
          <w:sz w:val="21"/>
          <w:szCs w:val="22"/>
          <w:lang w:val="ru-RU"/>
        </w:rPr>
      </w:pPr>
    </w:p>
    <w:p>
      <w:pPr>
        <w:rPr>
          <w:rFonts w:hint="default"/>
          <w:lang w:val="ru-RU"/>
        </w:rPr>
      </w:pPr>
    </w:p>
    <w:p>
      <w:pPr>
        <w:numPr>
          <w:ilvl w:val="0"/>
          <w:numId w:val="1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В соответствии с п. 20 раздела </w:t>
      </w:r>
      <w:r>
        <w:rPr>
          <w:rFonts w:hint="default"/>
          <w:lang w:val="en-US" w:eastAsia="zh-CN"/>
        </w:rPr>
        <w:t xml:space="preserve">I </w:t>
      </w:r>
      <w:r>
        <w:rPr>
          <w:rFonts w:hint="default"/>
          <w:lang w:val="ru-RU" w:eastAsia="zh-CN"/>
        </w:rPr>
        <w:t>Участник закупки обязан предоставить обеспечение конкурсной заявки в размере 3 (трех) % от начальной (максимальной) цены договора. В случае непредоставления обеспечения до окончания срока подачи заявки (первой части заявки) в связи с временной задержкой зачисления средств возможно ли предоставление документов от финансовой организации (платежного поручения) о перечислении денежных средств?</w:t>
      </w:r>
    </w:p>
    <w:p>
      <w:pPr>
        <w:numPr>
          <w:ilvl w:val="0"/>
          <w:numId w:val="1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Наша головная компания (учредитель в соответствии с Выпиской из ЕГРЮЛ) - иностранное юридическое лицо, имеющее счета за рубежом, возможно ли перечисление обеспечения заявки со счетов головной компании на лицевой счет Участника закупки, какие документы необходимо предоставить в подтверждение того, что средства, перечисленные со счета иностранного юридического лица (головной компании) подлежат зачислению на счет Участника конкурса? </w:t>
      </w:r>
    </w:p>
    <w:p>
      <w:pPr>
        <w:numPr>
          <w:ilvl w:val="0"/>
          <w:numId w:val="1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Возможно ли перечисление обеспечения заявки в иностраной валюте (НМЦК установлено в рублях)? Если да, то по какому курсу и на какую дату пересчитывать сумму в иностраной валюте? После публикации итогового протокола в течение какого срока будут разблокированы данные денежные средства (валютный контроль и проч.)?</w:t>
      </w:r>
    </w:p>
    <w:p>
      <w:pPr>
        <w:numPr>
          <w:ilvl w:val="0"/>
          <w:numId w:val="1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Возможно ли привлечение стратегического партнера, который участвует в качестве стратегического партнера с другим участником по другому лоту? Т.Е. Партнер А участвует совместно с Участником 1 в конкурсе по Этапу 1, вместе с тем данный партнер А участвует вместе с нашей организацией в конкурсе по Этапу 2?</w:t>
      </w:r>
    </w:p>
    <w:p>
      <w:pPr>
        <w:numPr>
          <w:ilvl w:val="0"/>
          <w:numId w:val="1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Возможно ли привлечение иностранного юридического лица, незарегистрированного в качестве юр.лица/филиала/иное на территории Российской Федерации, в качестве стратегического партнера? В соответствии с условиями Приложения №15 стратегический партнер должен соответствовать требованиям п. 19, возможно ли предоставление гарантийного письма/декларации для подтверждения соответствия партнера требованиям конкурсной документации? Какие документы необходимо предоставить от имени стратегического партнера, чтобы иметь возможность предоставить опыт, персонал, оборудование и ПО?</w:t>
      </w:r>
      <w:bookmarkStart w:id="0" w:name="_GoBack"/>
      <w:bookmarkEnd w:id="0"/>
    </w:p>
    <w:p>
      <w:pPr>
        <w:numPr>
          <w:numId w:val="0"/>
        </w:num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C2131"/>
    <w:multiLevelType w:val="singleLevel"/>
    <w:tmpl w:val="764C21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2020-08-06T14:20:08Z</dcterms:created>
  <dc:creator>User36</dc:creator>
  <cp:lastModifiedBy>Марковская А.</cp:lastModifiedBy>
  <dcterms:modified xsi:type="dcterms:W3CDTF">2020-08-06T16:07:42Z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