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90B" w:rsidRDefault="0027690B" w:rsidP="009115EC">
      <w:pPr>
        <w:jc w:val="both"/>
        <w:rPr>
          <w:color w:val="FF0000"/>
        </w:rPr>
      </w:pPr>
    </w:p>
    <w:p w:rsidR="0027690B" w:rsidRDefault="0027690B" w:rsidP="009115EC">
      <w:pPr>
        <w:jc w:val="both"/>
        <w:rPr>
          <w:color w:val="FF0000"/>
        </w:rPr>
      </w:pPr>
    </w:p>
    <w:p w:rsidR="00F418B6" w:rsidRDefault="00F418B6" w:rsidP="009115EC">
      <w:pPr>
        <w:pStyle w:val="a3"/>
        <w:numPr>
          <w:ilvl w:val="0"/>
          <w:numId w:val="1"/>
        </w:numPr>
        <w:jc w:val="both"/>
      </w:pPr>
      <w:r>
        <w:t xml:space="preserve">необходимо изменить п. 6.1 проекта договора, т.к.  страхование имущества по риску КАСКО производится страховыми компаниями в первый год на полную стоимость предмета лизинга, а на последующие года - с учётом понижающего коэффициента, который в том </w:t>
      </w:r>
      <w:r w:rsidR="00F21DF4">
        <w:t>числе,</w:t>
      </w:r>
      <w:r>
        <w:t xml:space="preserve"> но не ограничиваясь состоит из амортизации техники. Включение в проект договора требования о предоставлении имущественного страхования на срок лизинга 36 месяцев с ежегодной пролонгацией без использования коэффициента амортизации, не может быть выполнено, что нарушает нормы ФЗ-135 "О Защите конкуренции" и ограничивает круг участников закупки.</w:t>
      </w:r>
    </w:p>
    <w:p w:rsidR="004F0CD7" w:rsidRDefault="00F418B6" w:rsidP="009115EC">
      <w:pPr>
        <w:pStyle w:val="a3"/>
        <w:numPr>
          <w:ilvl w:val="0"/>
          <w:numId w:val="1"/>
        </w:numPr>
        <w:jc w:val="both"/>
      </w:pPr>
      <w:r>
        <w:t xml:space="preserve">необходимо исключить из пункта 6.6.1. – </w:t>
      </w:r>
      <w:r w:rsidRPr="00F418B6">
        <w:rPr>
          <w:color w:val="FF0000"/>
        </w:rPr>
        <w:t xml:space="preserve">изменение идентификационных номеров на агрегатах ТС (двигатель, кузов, рама) </w:t>
      </w:r>
      <w:r>
        <w:t>из проекта договора лизинга, т.к. замена двигателя, кузова, рамы - не является страховым случаем и подобные расходы не могут быть включены в покрытие страхового полиса. Данный пункт делает невыполнимым условие по страхованию имущества, что нарушает нормы ФЗ-135 "О Защите конкуренции" и ограничивает круг участников закупки.</w:t>
      </w:r>
    </w:p>
    <w:p w:rsidR="008E0266" w:rsidRDefault="008E0266" w:rsidP="008E0266">
      <w:pPr>
        <w:pStyle w:val="a3"/>
        <w:numPr>
          <w:ilvl w:val="0"/>
          <w:numId w:val="1"/>
        </w:numPr>
      </w:pPr>
      <w:r>
        <w:t xml:space="preserve">Предлагаем изложить пункт </w:t>
      </w:r>
      <w:proofErr w:type="gramStart"/>
      <w:r>
        <w:t>4.1  проекта</w:t>
      </w:r>
      <w:proofErr w:type="gramEnd"/>
      <w:r>
        <w:t xml:space="preserve"> договора в следующей редакции : «Предмет лизинга учитывается на балансе Лизингодателя».</w:t>
      </w:r>
    </w:p>
    <w:p w:rsidR="008E0266" w:rsidRDefault="008E0266" w:rsidP="008E0266">
      <w:pPr>
        <w:pStyle w:val="a3"/>
        <w:numPr>
          <w:ilvl w:val="0"/>
          <w:numId w:val="1"/>
        </w:numPr>
      </w:pPr>
      <w:r>
        <w:t xml:space="preserve"> В связи с тем, что    с 1 января 2022 года вступил в силу стандарт по бухгалтерскому учету </w:t>
      </w:r>
      <w:hyperlink r:id="rId5" w:history="1">
        <w:r w:rsidRPr="008E0266">
          <w:rPr>
            <w:rFonts w:ascii="Calibri" w:hAnsi="Calibri" w:cs="Calibri"/>
            <w:color w:val="0000FF"/>
          </w:rPr>
          <w:t>ФСБУ 25/2018</w:t>
        </w:r>
      </w:hyperlink>
      <w:r w:rsidRPr="008E0266">
        <w:rPr>
          <w:rFonts w:ascii="Calibri" w:hAnsi="Calibri" w:cs="Calibri"/>
        </w:rPr>
        <w:t xml:space="preserve"> «Бухгалтерский учет аренды», убрали право выбора, на чьем балансе будет учитываться предмет лизинга в НУ - теперь его всегда будет учитывать собственник (Лизингодатель), соответственно </w:t>
      </w:r>
      <w:proofErr w:type="spellStart"/>
      <w:r w:rsidRPr="008E0266">
        <w:rPr>
          <w:rFonts w:ascii="Calibri" w:hAnsi="Calibri" w:cs="Calibri"/>
        </w:rPr>
        <w:t>коэф.ускорения</w:t>
      </w:r>
      <w:proofErr w:type="spellEnd"/>
      <w:r w:rsidRPr="008E0266">
        <w:rPr>
          <w:rFonts w:ascii="Calibri" w:hAnsi="Calibri" w:cs="Calibri"/>
        </w:rPr>
        <w:t xml:space="preserve"> и начисление амортизации – это теперь обязательство Лизингодателя. </w:t>
      </w:r>
    </w:p>
    <w:p w:rsidR="008E0266" w:rsidRDefault="008E0266" w:rsidP="008E0266">
      <w:pPr>
        <w:jc w:val="both"/>
      </w:pPr>
      <w:bookmarkStart w:id="0" w:name="_GoBack"/>
      <w:bookmarkEnd w:id="0"/>
    </w:p>
    <w:sectPr w:rsidR="008E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5478A"/>
    <w:multiLevelType w:val="hybridMultilevel"/>
    <w:tmpl w:val="835C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0B"/>
    <w:rsid w:val="0027690B"/>
    <w:rsid w:val="004F0CD7"/>
    <w:rsid w:val="008E0266"/>
    <w:rsid w:val="009115EC"/>
    <w:rsid w:val="00F21DF4"/>
    <w:rsid w:val="00F4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1C46"/>
  <w15:chartTrackingRefBased/>
  <w15:docId w15:val="{8A53D38A-A8DA-44B5-87F1-741C858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728C0B5DDD9A2704F9397197B76CAC52F904A38A42C3121FB264F2ED321E9E74F07E1C1DB9072014B8D45BCDCD581A88A87D63F70D1402qF7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Юлия Сергеевна</dc:creator>
  <cp:keywords/>
  <dc:description/>
  <cp:lastModifiedBy>Резанова Юлия Владимировна</cp:lastModifiedBy>
  <cp:revision>5</cp:revision>
  <cp:lastPrinted>2023-05-15T10:58:00Z</cp:lastPrinted>
  <dcterms:created xsi:type="dcterms:W3CDTF">2023-05-15T10:58:00Z</dcterms:created>
  <dcterms:modified xsi:type="dcterms:W3CDTF">2023-05-15T12:26:00Z</dcterms:modified>
</cp:coreProperties>
</file>