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2B" w:rsidRPr="00FA48FF" w:rsidRDefault="001D152B" w:rsidP="00FA48FF">
      <w:pPr>
        <w:spacing w:after="0" w:line="240" w:lineRule="auto"/>
        <w:ind w:left="4536"/>
        <w:jc w:val="right"/>
        <w:rPr>
          <w:rFonts w:ascii="Times New Roman" w:eastAsia="Calibri" w:hAnsi="Times New Roman" w:cs="Times New Roman"/>
          <w:spacing w:val="-1"/>
          <w:sz w:val="20"/>
          <w:szCs w:val="20"/>
          <w:lang w:eastAsia="ru-RU"/>
        </w:rPr>
      </w:pPr>
      <w:bookmarkStart w:id="0" w:name="_GoBack"/>
      <w:bookmarkEnd w:id="0"/>
      <w:r w:rsidRPr="00FA48FF">
        <w:rPr>
          <w:rFonts w:ascii="Times New Roman" w:eastAsia="Calibri" w:hAnsi="Times New Roman" w:cs="Times New Roman"/>
          <w:spacing w:val="-1"/>
          <w:sz w:val="20"/>
          <w:szCs w:val="20"/>
          <w:lang w:eastAsia="ru-RU"/>
        </w:rPr>
        <w:t xml:space="preserve">Приложение № </w:t>
      </w:r>
      <w:r w:rsidR="004A7D8B" w:rsidRPr="00FA48FF">
        <w:rPr>
          <w:rFonts w:ascii="Times New Roman" w:eastAsia="Calibri" w:hAnsi="Times New Roman" w:cs="Times New Roman"/>
          <w:spacing w:val="-1"/>
          <w:sz w:val="20"/>
          <w:szCs w:val="20"/>
          <w:lang w:eastAsia="ru-RU"/>
        </w:rPr>
        <w:t>4</w:t>
      </w:r>
    </w:p>
    <w:p w:rsidR="001D152B" w:rsidRPr="00FA48FF" w:rsidRDefault="001D152B" w:rsidP="00FA48FF">
      <w:pPr>
        <w:spacing w:after="0" w:line="240" w:lineRule="auto"/>
        <w:ind w:left="4536"/>
        <w:jc w:val="right"/>
        <w:rPr>
          <w:rFonts w:ascii="Times New Roman" w:eastAsia="Times New Roman" w:hAnsi="Times New Roman" w:cs="Times New Roman"/>
          <w:sz w:val="20"/>
          <w:szCs w:val="20"/>
          <w:lang w:val="x-none" w:eastAsia="ru-RU"/>
        </w:rPr>
      </w:pPr>
      <w:r w:rsidRPr="00FA48FF">
        <w:rPr>
          <w:rFonts w:ascii="Times New Roman" w:eastAsia="Calibri" w:hAnsi="Times New Roman" w:cs="Times New Roman"/>
          <w:spacing w:val="-1"/>
          <w:sz w:val="20"/>
          <w:szCs w:val="20"/>
          <w:lang w:eastAsia="ru-RU"/>
        </w:rPr>
        <w:t xml:space="preserve">к Изменениям № 2 </w:t>
      </w:r>
      <w:r w:rsidRPr="00FA48FF">
        <w:rPr>
          <w:rFonts w:ascii="Times New Roman" w:eastAsia="Times New Roman" w:hAnsi="Times New Roman" w:cs="Times New Roman"/>
          <w:sz w:val="20"/>
          <w:szCs w:val="20"/>
          <w:lang w:eastAsia="ru-RU"/>
        </w:rPr>
        <w:t xml:space="preserve">в Извещение и </w:t>
      </w:r>
      <w:r w:rsidRPr="00FA48FF">
        <w:rPr>
          <w:rFonts w:ascii="Times New Roman" w:eastAsia="Times New Roman" w:hAnsi="Times New Roman" w:cs="Times New Roman"/>
          <w:sz w:val="20"/>
          <w:szCs w:val="20"/>
          <w:lang w:val="x-none" w:eastAsia="ru-RU"/>
        </w:rPr>
        <w:t>Документаци</w:t>
      </w:r>
      <w:r w:rsidRPr="00FA48FF">
        <w:rPr>
          <w:rFonts w:ascii="Times New Roman" w:eastAsia="Times New Roman" w:hAnsi="Times New Roman" w:cs="Times New Roman"/>
          <w:sz w:val="20"/>
          <w:szCs w:val="20"/>
          <w:lang w:eastAsia="ru-RU"/>
        </w:rPr>
        <w:t xml:space="preserve">ю о </w:t>
      </w:r>
      <w:r w:rsidRPr="00FA48FF">
        <w:rPr>
          <w:rFonts w:ascii="Times New Roman" w:eastAsia="Times New Roman" w:hAnsi="Times New Roman" w:cs="Times New Roman"/>
          <w:sz w:val="20"/>
          <w:szCs w:val="20"/>
          <w:lang w:val="x-none" w:eastAsia="ru-RU"/>
        </w:rPr>
        <w:t>Конкурс</w:t>
      </w:r>
      <w:r w:rsidRPr="00FA48FF">
        <w:rPr>
          <w:rFonts w:ascii="Times New Roman" w:eastAsia="Times New Roman" w:hAnsi="Times New Roman" w:cs="Times New Roman"/>
          <w:sz w:val="20"/>
          <w:szCs w:val="20"/>
          <w:lang w:eastAsia="ru-RU"/>
        </w:rPr>
        <w:t>е</w:t>
      </w:r>
      <w:r w:rsidRPr="00FA48FF">
        <w:rPr>
          <w:rFonts w:ascii="Times New Roman" w:eastAsia="Times New Roman" w:hAnsi="Times New Roman" w:cs="Times New Roman"/>
          <w:sz w:val="20"/>
          <w:szCs w:val="20"/>
          <w:lang w:val="x-none" w:eastAsia="ru-RU"/>
        </w:rPr>
        <w:t xml:space="preserve"> в электронной форме</w:t>
      </w:r>
      <w:r w:rsidRPr="00FA48FF">
        <w:rPr>
          <w:rFonts w:ascii="Times New Roman" w:eastAsia="Times New Roman" w:hAnsi="Times New Roman" w:cs="Times New Roman"/>
          <w:sz w:val="20"/>
          <w:szCs w:val="20"/>
          <w:lang w:eastAsia="ru-RU"/>
        </w:rPr>
        <w:t xml:space="preserve"> </w:t>
      </w:r>
      <w:r w:rsidRPr="00FA48FF">
        <w:rPr>
          <w:rFonts w:ascii="Times New Roman" w:eastAsia="Times New Roman" w:hAnsi="Times New Roman" w:cs="Times New Roman"/>
          <w:sz w:val="20"/>
          <w:szCs w:val="20"/>
          <w:lang w:val="x-none" w:eastAsia="ru-RU"/>
        </w:rPr>
        <w:t>на право заключения Договора</w:t>
      </w:r>
    </w:p>
    <w:p w:rsidR="001D152B" w:rsidRPr="00FA48FF" w:rsidRDefault="00FA48FF" w:rsidP="00FA48FF">
      <w:pPr>
        <w:widowControl w:val="0"/>
        <w:spacing w:after="0" w:line="288" w:lineRule="auto"/>
        <w:ind w:left="4536"/>
        <w:jc w:val="right"/>
        <w:rPr>
          <w:rFonts w:ascii="Times New Roman" w:eastAsia="Times New Roman" w:hAnsi="Times New Roman" w:cs="Times New Roman"/>
          <w:spacing w:val="-1"/>
          <w:sz w:val="20"/>
          <w:szCs w:val="20"/>
          <w:lang w:eastAsia="ru-RU"/>
        </w:rPr>
      </w:pPr>
      <w:r w:rsidRPr="00FA48FF">
        <w:rPr>
          <w:rFonts w:ascii="Times New Roman" w:hAnsi="Times New Roman" w:cs="Times New Roman"/>
          <w:sz w:val="20"/>
          <w:szCs w:val="20"/>
          <w:lang w:val="x-none"/>
        </w:rPr>
        <w:t>на</w:t>
      </w:r>
      <w:r w:rsidRPr="00FA48FF">
        <w:rPr>
          <w:rFonts w:ascii="Times New Roman" w:hAnsi="Times New Roman" w:cs="Times New Roman"/>
          <w:sz w:val="20"/>
          <w:szCs w:val="20"/>
        </w:rPr>
        <w:t xml:space="preserve"> выполнение комплекса работ по проектированию и строительству объекта: М-12 «Строящаяся скоростная автомобильная дорога Москва - Нижний Новгород – Казань», 4 этап км 224 – км 347, Владимирская, Нижегородская области (от пересечения с автомобильной дорогой регионального значения 17К-2 «Муром – М-7 «Волга» до пересечения с автомобильной дорогой федерального значения Р-158 «Нижний Новгород – Арзамас – Саранск – </w:t>
      </w:r>
      <w:proofErr w:type="spellStart"/>
      <w:r w:rsidRPr="00FA48FF">
        <w:rPr>
          <w:rFonts w:ascii="Times New Roman" w:hAnsi="Times New Roman" w:cs="Times New Roman"/>
          <w:sz w:val="20"/>
          <w:szCs w:val="20"/>
        </w:rPr>
        <w:t>Исса</w:t>
      </w:r>
      <w:proofErr w:type="spellEnd"/>
      <w:r w:rsidRPr="00FA48FF">
        <w:rPr>
          <w:rFonts w:ascii="Times New Roman" w:hAnsi="Times New Roman" w:cs="Times New Roman"/>
          <w:sz w:val="20"/>
          <w:szCs w:val="20"/>
        </w:rPr>
        <w:t xml:space="preserve"> – Пенза – Саратов»)»</w:t>
      </w:r>
      <w:r w:rsidRPr="00FA48FF">
        <w:rPr>
          <w:rFonts w:ascii="Times New Roman" w:eastAsia="Times New Roman" w:hAnsi="Times New Roman" w:cs="Times New Roman"/>
          <w:spacing w:val="-1"/>
          <w:sz w:val="20"/>
          <w:szCs w:val="20"/>
          <w:lang w:eastAsia="ru-RU"/>
        </w:rPr>
        <w:t xml:space="preserve"> </w:t>
      </w:r>
      <w:r w:rsidR="001D152B" w:rsidRPr="00FA48FF">
        <w:rPr>
          <w:rFonts w:ascii="Times New Roman" w:eastAsia="Times New Roman" w:hAnsi="Times New Roman" w:cs="Times New Roman"/>
          <w:spacing w:val="-1"/>
          <w:sz w:val="20"/>
          <w:szCs w:val="20"/>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передачу потока видеоданных или кадров в режиме реального 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промышленных коммуникаций», утвержденной приказом 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м, установленных вокруг промежуточных опор на расстоянии 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изображений. Параметры отображения должны принять не менее 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изображения с телевизионной камеры, включенной по тревожному событию, на отдельный монитор/выделенный 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управления управляемым IP-устройствам в сети с АРМ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организацию защищенного удаленного доступа к сети для 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средствами видеозаписи и средствами аудиозаписи необходимо обеспечить аудио- и видеозапись в целях </w:t>
            </w:r>
            <w:proofErr w:type="gramStart"/>
            <w:r w:rsidRPr="00401597">
              <w:rPr>
                <w:rFonts w:ascii="Times New Roman" w:eastAsia="Calibri" w:hAnsi="Times New Roman" w:cs="Times New Roman"/>
                <w:color w:val="000000" w:themeColor="text1"/>
                <w:sz w:val="24"/>
                <w:szCs w:val="24"/>
              </w:rPr>
              <w:t>документирования действий сил обеспечения транспортной безопасности</w:t>
            </w:r>
            <w:proofErr w:type="gramEnd"/>
            <w:r w:rsidRPr="00401597">
              <w:rPr>
                <w:rFonts w:ascii="Times New Roman" w:eastAsia="Calibri" w:hAnsi="Times New Roman" w:cs="Times New Roman"/>
                <w:color w:val="000000" w:themeColor="text1"/>
                <w:sz w:val="24"/>
                <w:szCs w:val="24"/>
              </w:rP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(в зоне транспортной безопасности) ‒ 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9"/>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FA48FF" w:rsidRPr="00FA48FF">
          <w:rPr>
            <w:noProof/>
            <w:lang w:val="ru-RU"/>
          </w:rPr>
          <w:t>1</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A48FF"/>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DB05-46E4-4CF6-8FA1-F30CFBDA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5680</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Гридасова Татьяна Сергеевна</cp:lastModifiedBy>
  <cp:revision>4</cp:revision>
  <cp:lastPrinted>2020-08-07T18:09:00Z</cp:lastPrinted>
  <dcterms:created xsi:type="dcterms:W3CDTF">2020-08-10T19:59:00Z</dcterms:created>
  <dcterms:modified xsi:type="dcterms:W3CDTF">2020-08-10T20:12:00Z</dcterms:modified>
</cp:coreProperties>
</file>