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2B" w:rsidRPr="009E563E" w:rsidRDefault="001D152B" w:rsidP="001D152B">
      <w:pPr>
        <w:spacing w:after="0" w:line="240" w:lineRule="auto"/>
        <w:ind w:left="4536"/>
        <w:jc w:val="right"/>
        <w:rPr>
          <w:rFonts w:ascii="Times New Roman" w:eastAsia="Calibri" w:hAnsi="Times New Roman" w:cs="Times New Roman"/>
          <w:spacing w:val="-1"/>
          <w:sz w:val="24"/>
          <w:szCs w:val="24"/>
          <w:lang w:eastAsia="ru-RU"/>
        </w:rPr>
      </w:pPr>
      <w:r w:rsidRPr="009E563E">
        <w:rPr>
          <w:rFonts w:ascii="Times New Roman" w:eastAsia="Calibri" w:hAnsi="Times New Roman" w:cs="Times New Roman"/>
          <w:spacing w:val="-1"/>
          <w:sz w:val="24"/>
          <w:szCs w:val="24"/>
          <w:lang w:eastAsia="ru-RU"/>
        </w:rPr>
        <w:t xml:space="preserve">Приложение № </w:t>
      </w:r>
      <w:r w:rsidR="004A7D8B" w:rsidRPr="009E563E">
        <w:rPr>
          <w:rFonts w:ascii="Times New Roman" w:eastAsia="Calibri" w:hAnsi="Times New Roman" w:cs="Times New Roman"/>
          <w:spacing w:val="-1"/>
          <w:sz w:val="24"/>
          <w:szCs w:val="24"/>
          <w:lang w:eastAsia="ru-RU"/>
        </w:rPr>
        <w:t>4</w:t>
      </w:r>
    </w:p>
    <w:p w:rsidR="009E563E" w:rsidRPr="009E563E" w:rsidRDefault="009E563E" w:rsidP="009E563E">
      <w:pPr>
        <w:spacing w:after="0" w:line="240" w:lineRule="auto"/>
        <w:ind w:left="1701"/>
        <w:jc w:val="right"/>
        <w:rPr>
          <w:rFonts w:ascii="Times New Roman" w:eastAsia="Times New Roman" w:hAnsi="Times New Roman" w:cs="Times New Roman"/>
          <w:sz w:val="24"/>
          <w:szCs w:val="24"/>
          <w:lang w:eastAsia="ru-RU"/>
        </w:rPr>
      </w:pPr>
      <w:r w:rsidRPr="009E563E">
        <w:rPr>
          <w:rFonts w:ascii="Times New Roman" w:eastAsia="Calibri" w:hAnsi="Times New Roman" w:cs="Times New Roman"/>
          <w:spacing w:val="-1"/>
          <w:sz w:val="24"/>
          <w:szCs w:val="24"/>
          <w:lang w:eastAsia="ru-RU"/>
        </w:rPr>
        <w:t xml:space="preserve">к Изменениям № 2 </w:t>
      </w:r>
      <w:r w:rsidRPr="009E563E">
        <w:rPr>
          <w:rFonts w:ascii="Times New Roman" w:eastAsia="Times New Roman" w:hAnsi="Times New Roman" w:cs="Times New Roman"/>
          <w:sz w:val="24"/>
          <w:szCs w:val="24"/>
          <w:lang w:eastAsia="ru-RU"/>
        </w:rPr>
        <w:t xml:space="preserve">в Извещение и </w:t>
      </w:r>
      <w:r w:rsidRPr="009E563E">
        <w:rPr>
          <w:rFonts w:ascii="Times New Roman" w:eastAsia="Times New Roman" w:hAnsi="Times New Roman" w:cs="Times New Roman"/>
          <w:sz w:val="24"/>
          <w:szCs w:val="24"/>
          <w:lang w:val="x-none" w:eastAsia="ru-RU"/>
        </w:rPr>
        <w:t>Документаци</w:t>
      </w:r>
      <w:r w:rsidRPr="009E563E">
        <w:rPr>
          <w:rFonts w:ascii="Times New Roman" w:eastAsia="Times New Roman" w:hAnsi="Times New Roman" w:cs="Times New Roman"/>
          <w:sz w:val="24"/>
          <w:szCs w:val="24"/>
          <w:lang w:eastAsia="ru-RU"/>
        </w:rPr>
        <w:t xml:space="preserve">ю о </w:t>
      </w:r>
      <w:r w:rsidRPr="009E563E">
        <w:rPr>
          <w:rFonts w:ascii="Times New Roman" w:eastAsia="Times New Roman" w:hAnsi="Times New Roman" w:cs="Times New Roman"/>
          <w:sz w:val="24"/>
          <w:szCs w:val="24"/>
          <w:lang w:val="x-none" w:eastAsia="ru-RU"/>
        </w:rPr>
        <w:t>Конкурс</w:t>
      </w:r>
      <w:r w:rsidRPr="009E563E">
        <w:rPr>
          <w:rFonts w:ascii="Times New Roman" w:eastAsia="Times New Roman" w:hAnsi="Times New Roman" w:cs="Times New Roman"/>
          <w:sz w:val="24"/>
          <w:szCs w:val="24"/>
          <w:lang w:eastAsia="ru-RU"/>
        </w:rPr>
        <w:t>е</w:t>
      </w:r>
      <w:r w:rsidRPr="009E563E">
        <w:rPr>
          <w:rFonts w:ascii="Times New Roman" w:eastAsia="Times New Roman" w:hAnsi="Times New Roman" w:cs="Times New Roman"/>
          <w:sz w:val="24"/>
          <w:szCs w:val="24"/>
          <w:lang w:val="x-none" w:eastAsia="ru-RU"/>
        </w:rPr>
        <w:t xml:space="preserve"> в </w:t>
      </w:r>
      <w:proofErr w:type="gramStart"/>
      <w:r w:rsidRPr="009E563E">
        <w:rPr>
          <w:rFonts w:ascii="Times New Roman" w:eastAsia="Times New Roman" w:hAnsi="Times New Roman" w:cs="Times New Roman"/>
          <w:sz w:val="24"/>
          <w:szCs w:val="24"/>
          <w:lang w:val="x-none" w:eastAsia="ru-RU"/>
        </w:rPr>
        <w:t>электронной</w:t>
      </w:r>
      <w:proofErr w:type="gramEnd"/>
    </w:p>
    <w:p w:rsidR="009E563E" w:rsidRPr="009E563E" w:rsidRDefault="009E563E" w:rsidP="009E563E">
      <w:pPr>
        <w:tabs>
          <w:tab w:val="left" w:pos="1701"/>
          <w:tab w:val="left" w:pos="7655"/>
        </w:tabs>
        <w:spacing w:after="0" w:line="240" w:lineRule="auto"/>
        <w:ind w:left="1701"/>
        <w:jc w:val="right"/>
        <w:rPr>
          <w:rFonts w:ascii="Times New Roman" w:eastAsia="Times New Roman" w:hAnsi="Times New Roman" w:cs="Times New Roman"/>
          <w:sz w:val="24"/>
          <w:szCs w:val="24"/>
          <w:lang w:eastAsia="ru-RU"/>
        </w:rPr>
      </w:pPr>
      <w:r w:rsidRPr="009E563E">
        <w:rPr>
          <w:rFonts w:ascii="Times New Roman" w:eastAsia="Times New Roman" w:hAnsi="Times New Roman" w:cs="Times New Roman"/>
          <w:sz w:val="24"/>
          <w:szCs w:val="24"/>
          <w:lang w:val="x-none" w:eastAsia="ru-RU"/>
        </w:rPr>
        <w:t xml:space="preserve">форме на право заключения Договора </w:t>
      </w:r>
      <w:r w:rsidRPr="009E563E">
        <w:rPr>
          <w:rFonts w:ascii="Times New Roman" w:eastAsia="Calibri" w:hAnsi="Times New Roman" w:cs="Times New Roman"/>
          <w:sz w:val="24"/>
          <w:szCs w:val="24"/>
        </w:rPr>
        <w:t>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8 этап км 663 – км 729 с мостовым переходом через р. Волга, Республика Татарстан (от пересечения с автомобильной дорогой федерального значения Р-241 «Казань — Буинск — Ульяновск» до пересечения с автомобильной дорогой регионального значения «Сорочьи Горы – Шали»)»</w:t>
      </w:r>
      <w:r w:rsidRPr="009E563E">
        <w:rPr>
          <w:rFonts w:ascii="Times New Roman" w:eastAsia="Times New Roman" w:hAnsi="Times New Roman" w:cs="Times New Roman"/>
          <w:sz w:val="24"/>
          <w:szCs w:val="24"/>
          <w:lang w:eastAsia="ru-RU"/>
        </w:rPr>
        <w:t xml:space="preserve"> </w:t>
      </w:r>
      <w:r w:rsidRPr="009E563E">
        <w:rPr>
          <w:rFonts w:ascii="Times New Roman" w:eastAsia="Times New Roman" w:hAnsi="Times New Roman" w:cs="Times New Roman"/>
          <w:spacing w:val="-1"/>
          <w:sz w:val="24"/>
          <w:szCs w:val="24"/>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bookmarkStart w:id="0" w:name="_GoBack"/>
      <w:bookmarkEnd w:id="0"/>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передачу потока видеоданных или кадров в режиме реального 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изображения с телевизионной камеры, включенной по тревожному событию, на отдельный монитор/выделенный 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организацию защищенного удаленного доступа к сети для 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9E563E" w:rsidRPr="009E563E">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563E"/>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57926775">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D391-BEBA-42F1-A638-694F4F3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Бабаева Ирина Юрьевна</cp:lastModifiedBy>
  <cp:revision>4</cp:revision>
  <cp:lastPrinted>2020-08-07T18:09:00Z</cp:lastPrinted>
  <dcterms:created xsi:type="dcterms:W3CDTF">2020-08-10T19:59:00Z</dcterms:created>
  <dcterms:modified xsi:type="dcterms:W3CDTF">2020-08-10T20:11:00Z</dcterms:modified>
</cp:coreProperties>
</file>